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B6" w:rsidRPr="00E322F3" w:rsidRDefault="00275EB6">
      <w:pPr>
        <w:widowControl w:val="0"/>
        <w:rPr>
          <w:rFonts w:ascii="Arial" w:hAnsi="Arial" w:cs="Arial"/>
          <w:sz w:val="22"/>
          <w:szCs w:val="22"/>
        </w:rPr>
      </w:pPr>
      <w:r>
        <w:tab/>
      </w:r>
      <w:r w:rsidRPr="00E322F3">
        <w:rPr>
          <w:rFonts w:ascii="Arial" w:hAnsi="Arial" w:cs="Arial"/>
          <w:sz w:val="22"/>
          <w:szCs w:val="22"/>
        </w:rPr>
        <w:t>Visto el expediente del Presupuesto General para 2.0</w:t>
      </w:r>
      <w:r w:rsidR="009F5265" w:rsidRPr="00E322F3">
        <w:rPr>
          <w:rFonts w:ascii="Arial" w:hAnsi="Arial" w:cs="Arial"/>
          <w:sz w:val="22"/>
          <w:szCs w:val="22"/>
        </w:rPr>
        <w:t>1</w:t>
      </w:r>
      <w:r w:rsidR="00F65A42">
        <w:rPr>
          <w:rFonts w:ascii="Arial" w:hAnsi="Arial" w:cs="Arial"/>
          <w:sz w:val="22"/>
          <w:szCs w:val="22"/>
        </w:rPr>
        <w:t>7</w:t>
      </w:r>
      <w:r w:rsidRPr="00E322F3">
        <w:rPr>
          <w:rFonts w:ascii="Arial" w:hAnsi="Arial" w:cs="Arial"/>
          <w:sz w:val="22"/>
          <w:szCs w:val="22"/>
        </w:rPr>
        <w:t xml:space="preserve">, que asciende </w:t>
      </w:r>
      <w:r w:rsidR="004B5B82" w:rsidRPr="00E322F3">
        <w:rPr>
          <w:rFonts w:ascii="Arial" w:hAnsi="Arial" w:cs="Arial"/>
          <w:sz w:val="22"/>
          <w:szCs w:val="22"/>
        </w:rPr>
        <w:t>el estado de ingresos</w:t>
      </w:r>
      <w:r w:rsidR="006B270D" w:rsidRPr="00E322F3">
        <w:rPr>
          <w:rFonts w:ascii="Arial" w:hAnsi="Arial" w:cs="Arial"/>
          <w:sz w:val="22"/>
          <w:szCs w:val="22"/>
        </w:rPr>
        <w:t xml:space="preserve"> y gastos</w:t>
      </w:r>
      <w:r w:rsidR="004B5B82" w:rsidRPr="00E322F3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 xml:space="preserve">a la cantidad de </w:t>
      </w:r>
      <w:r w:rsidR="00F65A42">
        <w:rPr>
          <w:rFonts w:ascii="Arial" w:hAnsi="Arial" w:cs="Arial"/>
          <w:sz w:val="22"/>
          <w:szCs w:val="22"/>
        </w:rPr>
        <w:t>51.905.695,01</w:t>
      </w:r>
      <w:r w:rsidRPr="00E322F3">
        <w:rPr>
          <w:rFonts w:ascii="Arial" w:hAnsi="Arial" w:cs="Arial"/>
          <w:sz w:val="22"/>
          <w:szCs w:val="22"/>
        </w:rPr>
        <w:t xml:space="preserve"> euros, y en virtud de lo dispuesto en </w:t>
      </w:r>
      <w:r w:rsidR="00346BA1" w:rsidRPr="00E322F3">
        <w:rPr>
          <w:rFonts w:ascii="Arial" w:hAnsi="Arial" w:cs="Arial"/>
          <w:sz w:val="22"/>
          <w:szCs w:val="22"/>
        </w:rPr>
        <w:t>los</w:t>
      </w:r>
      <w:r w:rsidRPr="00E322F3">
        <w:rPr>
          <w:rFonts w:ascii="Arial" w:hAnsi="Arial" w:cs="Arial"/>
          <w:sz w:val="22"/>
          <w:szCs w:val="22"/>
        </w:rPr>
        <w:t xml:space="preserve"> artículo</w:t>
      </w:r>
      <w:r w:rsidR="00346BA1" w:rsidRPr="00E322F3">
        <w:rPr>
          <w:rFonts w:ascii="Arial" w:hAnsi="Arial" w:cs="Arial"/>
          <w:sz w:val="22"/>
          <w:szCs w:val="22"/>
        </w:rPr>
        <w:t>s</w:t>
      </w:r>
      <w:r w:rsidRPr="00E322F3">
        <w:rPr>
          <w:rFonts w:ascii="Arial" w:hAnsi="Arial" w:cs="Arial"/>
          <w:sz w:val="22"/>
          <w:szCs w:val="22"/>
        </w:rPr>
        <w:t xml:space="preserve"> 1</w:t>
      </w:r>
      <w:r w:rsidR="00C30B5E" w:rsidRPr="00E322F3">
        <w:rPr>
          <w:rFonts w:ascii="Arial" w:hAnsi="Arial" w:cs="Arial"/>
          <w:sz w:val="22"/>
          <w:szCs w:val="22"/>
        </w:rPr>
        <w:t>68</w:t>
      </w:r>
      <w:r w:rsidRPr="00E322F3">
        <w:rPr>
          <w:rFonts w:ascii="Arial" w:hAnsi="Arial" w:cs="Arial"/>
          <w:sz w:val="22"/>
          <w:szCs w:val="22"/>
        </w:rPr>
        <w:t>.4</w:t>
      </w:r>
      <w:r w:rsidR="00346BA1" w:rsidRPr="00E322F3">
        <w:rPr>
          <w:rFonts w:ascii="Arial" w:hAnsi="Arial" w:cs="Arial"/>
          <w:sz w:val="22"/>
          <w:szCs w:val="22"/>
        </w:rPr>
        <w:t>, y 214</w:t>
      </w:r>
      <w:r w:rsidRPr="00E322F3">
        <w:rPr>
          <w:rFonts w:ascii="Arial" w:hAnsi="Arial" w:cs="Arial"/>
          <w:sz w:val="22"/>
          <w:szCs w:val="22"/>
        </w:rPr>
        <w:t xml:space="preserve"> de</w:t>
      </w:r>
      <w:r w:rsidR="00C30B5E" w:rsidRPr="00E322F3">
        <w:rPr>
          <w:rFonts w:ascii="Arial" w:hAnsi="Arial" w:cs="Arial"/>
          <w:sz w:val="22"/>
          <w:szCs w:val="22"/>
        </w:rPr>
        <w:t>l R.D. Legislativo 2/2004, de 5 de marzo</w:t>
      </w:r>
      <w:r w:rsidRPr="00E322F3">
        <w:rPr>
          <w:rFonts w:ascii="Arial" w:hAnsi="Arial" w:cs="Arial"/>
          <w:sz w:val="22"/>
          <w:szCs w:val="22"/>
        </w:rPr>
        <w:t xml:space="preserve">, </w:t>
      </w:r>
      <w:r w:rsidR="00C30B5E" w:rsidRPr="00E322F3">
        <w:rPr>
          <w:rFonts w:ascii="Arial" w:hAnsi="Arial" w:cs="Arial"/>
          <w:sz w:val="22"/>
          <w:szCs w:val="22"/>
        </w:rPr>
        <w:t>el</w:t>
      </w:r>
      <w:r w:rsidRPr="00E322F3">
        <w:rPr>
          <w:rFonts w:ascii="Arial" w:hAnsi="Arial" w:cs="Arial"/>
          <w:sz w:val="22"/>
          <w:szCs w:val="22"/>
        </w:rPr>
        <w:t xml:space="preserve"> funcionario que suscribe debe emitir el siguiente </w:t>
      </w:r>
    </w:p>
    <w:p w:rsidR="00E35E25" w:rsidRPr="00E322F3" w:rsidRDefault="00E35E25">
      <w:pPr>
        <w:widowControl w:val="0"/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widowControl w:val="0"/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pStyle w:val="Ttulo1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INFORME</w:t>
      </w:r>
    </w:p>
    <w:p w:rsidR="00275EB6" w:rsidRPr="00E322F3" w:rsidRDefault="00275EB6">
      <w:pPr>
        <w:widowControl w:val="0"/>
        <w:rPr>
          <w:rFonts w:ascii="Arial" w:hAnsi="Arial" w:cs="Arial"/>
          <w:sz w:val="22"/>
          <w:szCs w:val="22"/>
        </w:rPr>
      </w:pPr>
    </w:p>
    <w:p w:rsidR="00E35E25" w:rsidRPr="00E322F3" w:rsidRDefault="00E35E25">
      <w:pPr>
        <w:widowControl w:val="0"/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pStyle w:val="Textoindependiente"/>
        <w:ind w:firstLine="708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De conformidad con lo dispuesto en el artículo 1</w:t>
      </w:r>
      <w:r w:rsidR="00C30B5E" w:rsidRPr="00E322F3">
        <w:rPr>
          <w:rFonts w:ascii="Arial" w:hAnsi="Arial" w:cs="Arial"/>
          <w:sz w:val="22"/>
          <w:szCs w:val="22"/>
        </w:rPr>
        <w:t>62</w:t>
      </w:r>
      <w:r w:rsidRPr="00E322F3">
        <w:rPr>
          <w:rFonts w:ascii="Arial" w:hAnsi="Arial" w:cs="Arial"/>
          <w:sz w:val="22"/>
          <w:szCs w:val="22"/>
        </w:rPr>
        <w:t xml:space="preserve"> y s.s. de</w:t>
      </w:r>
      <w:r w:rsidR="009F5265" w:rsidRPr="00E322F3">
        <w:rPr>
          <w:rFonts w:ascii="Arial" w:hAnsi="Arial" w:cs="Arial"/>
          <w:sz w:val="22"/>
          <w:szCs w:val="22"/>
        </w:rPr>
        <w:t>l R.D. Legislativo 2/2004, de 5 de marzo</w:t>
      </w:r>
      <w:r w:rsidRPr="00E322F3">
        <w:rPr>
          <w:rFonts w:ascii="Arial" w:hAnsi="Arial" w:cs="Arial"/>
          <w:sz w:val="22"/>
          <w:szCs w:val="22"/>
        </w:rPr>
        <w:t>, el expediente contiene la siguiente documentación:</w:t>
      </w:r>
    </w:p>
    <w:p w:rsidR="00275EB6" w:rsidRPr="00E322F3" w:rsidRDefault="00275EB6">
      <w:pPr>
        <w:widowControl w:val="0"/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El estado de gastos, en el que se incluyen los créditos necesarios para atender el cumplimiento de las obligaciones.</w:t>
      </w: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El estado de ingresos, en el que figuran las estimaciones de los distintos recursos económicos a liquidar durante el ejercicio.</w:t>
      </w: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Las Bases de Ejecución, que contienen la adaptación de las disposiciones generales en materia presupuestaria a la organización del Ayuntamiento.</w:t>
      </w: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Memoria explicativa de su contenido redactada por la Alcaldía.</w:t>
      </w: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Anexo de personal, en el que se relacionan y valoran todos los puestos de trabajo existentes, dándose la oportuna correlación con los créditos para personal incluidos en el presupuesto.</w:t>
      </w:r>
    </w:p>
    <w:p w:rsidR="00275EB6" w:rsidRDefault="005A61A5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Anexo de inversiones.</w:t>
      </w:r>
    </w:p>
    <w:p w:rsidR="005A61A5" w:rsidRPr="0082401A" w:rsidRDefault="00275EB6" w:rsidP="0082401A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401A">
        <w:rPr>
          <w:rFonts w:ascii="Arial" w:hAnsi="Arial" w:cs="Arial"/>
          <w:sz w:val="22"/>
          <w:szCs w:val="22"/>
        </w:rPr>
        <w:t>Liquidación del presupuesto del ejercicio de 2.0</w:t>
      </w:r>
      <w:r w:rsidR="004B5B82" w:rsidRPr="0082401A">
        <w:rPr>
          <w:rFonts w:ascii="Arial" w:hAnsi="Arial" w:cs="Arial"/>
          <w:sz w:val="22"/>
          <w:szCs w:val="22"/>
        </w:rPr>
        <w:t>1</w:t>
      </w:r>
      <w:r w:rsidR="00F65A42">
        <w:rPr>
          <w:rFonts w:ascii="Arial" w:hAnsi="Arial" w:cs="Arial"/>
          <w:sz w:val="22"/>
          <w:szCs w:val="22"/>
        </w:rPr>
        <w:t>5</w:t>
      </w:r>
      <w:r w:rsidR="0082401A" w:rsidRPr="0082401A">
        <w:rPr>
          <w:rFonts w:ascii="Arial" w:hAnsi="Arial" w:cs="Arial"/>
          <w:sz w:val="22"/>
          <w:szCs w:val="22"/>
        </w:rPr>
        <w:t>, y de 201</w:t>
      </w:r>
      <w:r w:rsidR="00F65A42">
        <w:rPr>
          <w:rFonts w:ascii="Arial" w:hAnsi="Arial" w:cs="Arial"/>
          <w:sz w:val="22"/>
          <w:szCs w:val="22"/>
        </w:rPr>
        <w:t>6</w:t>
      </w:r>
      <w:r w:rsidR="0082401A">
        <w:rPr>
          <w:rFonts w:ascii="Arial" w:hAnsi="Arial" w:cs="Arial"/>
          <w:sz w:val="22"/>
          <w:szCs w:val="22"/>
        </w:rPr>
        <w:t xml:space="preserve">, </w:t>
      </w:r>
      <w:r w:rsidR="0082401A" w:rsidRPr="0082401A">
        <w:rPr>
          <w:rFonts w:ascii="Arial" w:hAnsi="Arial" w:cs="Arial"/>
          <w:sz w:val="22"/>
          <w:szCs w:val="22"/>
        </w:rPr>
        <w:t>según lo dispuesto en la regla 56 de la ICAL</w:t>
      </w:r>
      <w:r w:rsidR="0082401A">
        <w:rPr>
          <w:rFonts w:ascii="Arial" w:hAnsi="Arial" w:cs="Arial"/>
          <w:sz w:val="22"/>
          <w:szCs w:val="22"/>
        </w:rPr>
        <w:t>.</w:t>
      </w:r>
    </w:p>
    <w:p w:rsidR="00275EB6" w:rsidRPr="00E322F3" w:rsidRDefault="00275EB6" w:rsidP="005A61A5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Informe económico-financiero, en el que se exponen las bases utilizadas para la evaluación de los ingresos</w:t>
      </w:r>
      <w:r w:rsidR="006B270D" w:rsidRPr="00E322F3">
        <w:rPr>
          <w:rFonts w:ascii="Arial" w:hAnsi="Arial" w:cs="Arial"/>
          <w:sz w:val="22"/>
          <w:szCs w:val="22"/>
        </w:rPr>
        <w:t>,</w:t>
      </w:r>
      <w:r w:rsidRPr="00E322F3">
        <w:rPr>
          <w:rFonts w:ascii="Arial" w:hAnsi="Arial" w:cs="Arial"/>
          <w:sz w:val="22"/>
          <w:szCs w:val="22"/>
        </w:rPr>
        <w:t xml:space="preserve"> la suficiencia de los créditos para atender el cumplimiento de las obligaciones exigibles y los gastos de funcio</w:t>
      </w:r>
      <w:r w:rsidR="006B270D" w:rsidRPr="00E322F3">
        <w:rPr>
          <w:rFonts w:ascii="Arial" w:hAnsi="Arial" w:cs="Arial"/>
          <w:sz w:val="22"/>
          <w:szCs w:val="22"/>
        </w:rPr>
        <w:t>namiento de los servicios.</w:t>
      </w:r>
    </w:p>
    <w:p w:rsidR="00275EB6" w:rsidRPr="00E322F3" w:rsidRDefault="00275EB6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Estado de previsión de movimientos y situación de la deuda comprensiva del detalle de operaciones de crédito o endeudamiento pendientes de reem</w:t>
      </w:r>
      <w:r w:rsidR="006B270D" w:rsidRPr="00E322F3">
        <w:rPr>
          <w:rFonts w:ascii="Arial" w:hAnsi="Arial" w:cs="Arial"/>
          <w:sz w:val="22"/>
          <w:szCs w:val="22"/>
        </w:rPr>
        <w:t xml:space="preserve">bolso a principio de ejercicio, </w:t>
      </w:r>
      <w:r w:rsidRPr="00E322F3">
        <w:rPr>
          <w:rFonts w:ascii="Arial" w:hAnsi="Arial" w:cs="Arial"/>
          <w:sz w:val="22"/>
          <w:szCs w:val="22"/>
        </w:rPr>
        <w:t>y del volumen de endeudamiento al cierre del ejercicio económico, con distinción de operaciones a corto plazo, operaciones a largo plazo, así como de las amortizaciones que se prevén realizar durante el mismo ejercicio.</w:t>
      </w:r>
    </w:p>
    <w:p w:rsidR="0082401A" w:rsidRPr="0082401A" w:rsidRDefault="0082401A" w:rsidP="0082401A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401A">
        <w:rPr>
          <w:rFonts w:ascii="Arial" w:hAnsi="Arial" w:cs="Arial"/>
          <w:color w:val="222222"/>
          <w:sz w:val="22"/>
          <w:szCs w:val="22"/>
        </w:rPr>
        <w:t>Anexo con información relativa a los convenios suscritos con las Comunidades Autónomas en materia de gasto social, con especificación de la cuantía de las obligaciones de pago y de los derechos económicos que se deben reconocer en el ejercicio al que se refiere el presupuesto general y de las obligaciones pendientes de pago y derechos económicos pendientes de cobro, reconocidos en ejercicios anteriores, así como de la aplicación o partida presupuestaria en la que se recogen, y la referencia a que dichos convenios incluyen la cláusula de retención de recursos del sistema de financiación a la que se refiere el artículo 57 bis de la Ley 7/1985, de 2 de abril, reguladora de las Bases del Régimen Local.</w:t>
      </w:r>
    </w:p>
    <w:p w:rsidR="0082401A" w:rsidRPr="0082401A" w:rsidRDefault="0082401A" w:rsidP="0082401A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Previsiones de gastos e ingresos de la mercantil Aguas de Dénia, S.A., de participación mayoritaria municipal</w:t>
      </w:r>
    </w:p>
    <w:p w:rsidR="0082401A" w:rsidRPr="003D2367" w:rsidRDefault="0082401A" w:rsidP="0082401A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616D9">
        <w:rPr>
          <w:rFonts w:ascii="Arial" w:hAnsi="Arial" w:cs="Arial"/>
          <w:color w:val="222222"/>
          <w:sz w:val="22"/>
          <w:szCs w:val="22"/>
        </w:rPr>
        <w:t>Anexo de beneficios fiscales en tributos locales conteniendo información detallada de los beneficios fiscales y su incidencia en los ingresos de</w:t>
      </w:r>
      <w:r>
        <w:rPr>
          <w:rFonts w:ascii="Arial" w:hAnsi="Arial" w:cs="Arial"/>
          <w:color w:val="222222"/>
          <w:sz w:val="22"/>
          <w:szCs w:val="22"/>
        </w:rPr>
        <w:t>l Ayuntamiento de Dénia</w:t>
      </w:r>
    </w:p>
    <w:p w:rsidR="003D2367" w:rsidRPr="00E322F3" w:rsidRDefault="003D2367" w:rsidP="0082401A">
      <w:pPr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Plan estratégico de subvenciones.</w:t>
      </w:r>
    </w:p>
    <w:p w:rsidR="00275EB6" w:rsidRDefault="00275EB6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394054" w:rsidRPr="00E322F3" w:rsidRDefault="00394054">
      <w:pPr>
        <w:widowControl w:val="0"/>
        <w:rPr>
          <w:rFonts w:ascii="Arial" w:hAnsi="Arial" w:cs="Arial"/>
          <w:sz w:val="22"/>
          <w:szCs w:val="22"/>
        </w:rPr>
      </w:pPr>
    </w:p>
    <w:p w:rsidR="00275EB6" w:rsidRDefault="00275EB6">
      <w:pPr>
        <w:widowControl w:val="0"/>
        <w:ind w:firstLine="708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Así mismo, en el expediente consta la plantilla comprensiva de todos los puestos de trabajo debidamente clasificados reservados a funcionarios, personal laboral y eventual, de conformidad con lo establecido en el artículo 90.1 de la ley 7/1985, de 2 de abril, en relación con los artículos 126 y s.s. del R.D. Legislativo 781/1986, de 18 de abril</w:t>
      </w:r>
      <w:r w:rsidR="00E36B1D" w:rsidRPr="00E322F3">
        <w:rPr>
          <w:rFonts w:ascii="Arial" w:hAnsi="Arial" w:cs="Arial"/>
          <w:sz w:val="22"/>
          <w:szCs w:val="22"/>
        </w:rPr>
        <w:t>, así como la relación de puestos de trabajo.</w:t>
      </w:r>
    </w:p>
    <w:p w:rsidR="009973CF" w:rsidRDefault="009973CF">
      <w:pPr>
        <w:widowControl w:val="0"/>
        <w:ind w:firstLine="708"/>
        <w:rPr>
          <w:rFonts w:ascii="Arial" w:hAnsi="Arial" w:cs="Arial"/>
          <w:sz w:val="22"/>
          <w:szCs w:val="22"/>
        </w:rPr>
      </w:pPr>
    </w:p>
    <w:p w:rsidR="00394054" w:rsidRDefault="00394054" w:rsidP="00394054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394054">
        <w:rPr>
          <w:rFonts w:ascii="Arial" w:hAnsi="Arial" w:cs="Arial"/>
          <w:sz w:val="22"/>
          <w:szCs w:val="22"/>
        </w:rPr>
        <w:t>Las estimaciones de</w:t>
      </w:r>
      <w:r>
        <w:rPr>
          <w:rFonts w:ascii="Arial" w:hAnsi="Arial" w:cs="Arial"/>
          <w:sz w:val="22"/>
          <w:szCs w:val="22"/>
        </w:rPr>
        <w:t>l capitulo de gastos de personal</w:t>
      </w:r>
      <w:r w:rsidRPr="00394054">
        <w:rPr>
          <w:rFonts w:ascii="Arial" w:hAnsi="Arial" w:cs="Arial"/>
          <w:sz w:val="22"/>
          <w:szCs w:val="22"/>
        </w:rPr>
        <w:t xml:space="preserve"> han sido realizadas por el Servicio de Recursos</w:t>
      </w:r>
      <w:r>
        <w:rPr>
          <w:rFonts w:ascii="Arial" w:hAnsi="Arial" w:cs="Arial"/>
          <w:sz w:val="22"/>
          <w:szCs w:val="22"/>
        </w:rPr>
        <w:t xml:space="preserve"> </w:t>
      </w:r>
      <w:r w:rsidR="004C6D44">
        <w:rPr>
          <w:rFonts w:ascii="Arial" w:hAnsi="Arial" w:cs="Arial"/>
          <w:sz w:val="22"/>
          <w:szCs w:val="22"/>
        </w:rPr>
        <w:t xml:space="preserve">humanos, </w:t>
      </w:r>
      <w:r w:rsidRPr="00394054">
        <w:rPr>
          <w:rFonts w:ascii="Arial" w:hAnsi="Arial" w:cs="Arial"/>
          <w:sz w:val="22"/>
          <w:szCs w:val="22"/>
        </w:rPr>
        <w:t>cuya documentación facilitada se acompaña y</w:t>
      </w:r>
      <w:r>
        <w:rPr>
          <w:rFonts w:ascii="Arial" w:hAnsi="Arial" w:cs="Arial"/>
          <w:sz w:val="22"/>
          <w:szCs w:val="22"/>
        </w:rPr>
        <w:t xml:space="preserve"> e</w:t>
      </w:r>
      <w:r w:rsidRPr="00394054">
        <w:rPr>
          <w:rFonts w:ascii="Arial" w:hAnsi="Arial" w:cs="Arial"/>
          <w:sz w:val="22"/>
          <w:szCs w:val="22"/>
        </w:rPr>
        <w:t>stán elaboradas en base a la plantilla de personal vigente.</w:t>
      </w:r>
    </w:p>
    <w:p w:rsidR="00394054" w:rsidRPr="00394054" w:rsidRDefault="00394054" w:rsidP="00394054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394054" w:rsidRPr="00394054" w:rsidRDefault="00394054" w:rsidP="004C6D44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394054">
        <w:rPr>
          <w:rFonts w:ascii="Arial" w:hAnsi="Arial" w:cs="Arial"/>
          <w:sz w:val="22"/>
          <w:szCs w:val="22"/>
        </w:rPr>
        <w:t>Se refleja también en el Capítulo I la subida prevista del 1 % en la ley de PGE 201</w:t>
      </w:r>
      <w:r w:rsidR="00F65A4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de las retribuciones de personal, las cuales no podrán experimentar un incremento global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superior respecto a las vigentes a 31 de diciembre de 201</w:t>
      </w:r>
      <w:r w:rsidR="00F65A42">
        <w:rPr>
          <w:rFonts w:ascii="Arial" w:hAnsi="Arial" w:cs="Arial"/>
          <w:sz w:val="22"/>
          <w:szCs w:val="22"/>
        </w:rPr>
        <w:t>6</w:t>
      </w:r>
      <w:r w:rsidRPr="00394054">
        <w:rPr>
          <w:rFonts w:ascii="Arial" w:hAnsi="Arial" w:cs="Arial"/>
          <w:sz w:val="22"/>
          <w:szCs w:val="22"/>
        </w:rPr>
        <w:t>. Se mantiene que no podrán</w:t>
      </w:r>
      <w:r>
        <w:rPr>
          <w:rFonts w:ascii="Arial" w:hAnsi="Arial" w:cs="Arial"/>
          <w:sz w:val="22"/>
          <w:szCs w:val="22"/>
        </w:rPr>
        <w:t xml:space="preserve"> r</w:t>
      </w:r>
      <w:r w:rsidRPr="00394054">
        <w:rPr>
          <w:rFonts w:ascii="Arial" w:hAnsi="Arial" w:cs="Arial"/>
          <w:sz w:val="22"/>
          <w:szCs w:val="22"/>
        </w:rPr>
        <w:t>ealizarse aportaciones a planes de pensiones ni contratos de seguro colectivos que incluyan la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cobertura de la contingencia de jubilación, con las excepciones que se prevén.</w:t>
      </w:r>
    </w:p>
    <w:p w:rsidR="004C6D44" w:rsidRDefault="004C6D44" w:rsidP="003940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973CF" w:rsidRPr="00394054" w:rsidRDefault="00394054" w:rsidP="004C6D44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394054">
        <w:rPr>
          <w:rFonts w:ascii="Arial" w:hAnsi="Arial" w:cs="Arial"/>
          <w:sz w:val="22"/>
          <w:szCs w:val="22"/>
        </w:rPr>
        <w:t>Se informa específicamente a los efectos del suministro de información requerida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periódicamente por la Subdelegación del Gobierno de España conforme a lo establecido en el art. 64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 xml:space="preserve">de la ley 7/85 reguladora de bases de régimen local, que no </w:t>
      </w:r>
      <w:r w:rsidRPr="00394054">
        <w:rPr>
          <w:rFonts w:ascii="Arial" w:hAnsi="Arial" w:cs="Arial"/>
          <w:sz w:val="22"/>
          <w:szCs w:val="22"/>
        </w:rPr>
        <w:lastRenderedPageBreak/>
        <w:t>se ha establecido ni previsto incremento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retributivo alguno en el capítulo 1 del presupuesto superior al establecido en la ley de presupuestos</w:t>
      </w:r>
      <w:r>
        <w:rPr>
          <w:rFonts w:ascii="Arial" w:hAnsi="Arial" w:cs="Arial"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 xml:space="preserve">Generales del Estado para </w:t>
      </w:r>
      <w:r w:rsidRPr="00394054">
        <w:rPr>
          <w:rFonts w:ascii="Arial" w:hAnsi="Arial" w:cs="Arial"/>
          <w:b/>
          <w:bCs/>
          <w:sz w:val="22"/>
          <w:szCs w:val="22"/>
        </w:rPr>
        <w:t>201</w:t>
      </w:r>
      <w:r w:rsidR="00F65A42">
        <w:rPr>
          <w:rFonts w:ascii="Arial" w:hAnsi="Arial" w:cs="Arial"/>
          <w:b/>
          <w:bCs/>
          <w:sz w:val="22"/>
          <w:szCs w:val="22"/>
        </w:rPr>
        <w:t>7</w:t>
      </w:r>
      <w:r w:rsidRPr="003940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94054">
        <w:rPr>
          <w:rFonts w:ascii="Arial" w:hAnsi="Arial" w:cs="Arial"/>
          <w:sz w:val="22"/>
          <w:szCs w:val="22"/>
        </w:rPr>
        <w:t>que prevé el incremento del 1% de las retribuciones al personal</w:t>
      </w:r>
      <w:r>
        <w:rPr>
          <w:rFonts w:ascii="Arial" w:hAnsi="Arial" w:cs="Arial"/>
          <w:sz w:val="22"/>
          <w:szCs w:val="22"/>
        </w:rPr>
        <w:t>. Funcionario y laboral para 2.016.</w:t>
      </w:r>
    </w:p>
    <w:p w:rsidR="00275EB6" w:rsidRPr="00E322F3" w:rsidRDefault="00275EB6">
      <w:pPr>
        <w:widowControl w:val="0"/>
        <w:ind w:firstLine="708"/>
        <w:rPr>
          <w:rFonts w:ascii="Arial" w:hAnsi="Arial" w:cs="Arial"/>
          <w:sz w:val="22"/>
          <w:szCs w:val="22"/>
        </w:rPr>
      </w:pPr>
    </w:p>
    <w:p w:rsidR="00275EB6" w:rsidRPr="00E322F3" w:rsidRDefault="00275EB6" w:rsidP="004F01F4">
      <w:pPr>
        <w:widowControl w:val="0"/>
        <w:ind w:firstLine="708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Las modificaciones esenciales del presupuesto de 2.0</w:t>
      </w:r>
      <w:r w:rsidR="00845C70" w:rsidRPr="00E322F3">
        <w:rPr>
          <w:rFonts w:ascii="Arial" w:hAnsi="Arial" w:cs="Arial"/>
          <w:sz w:val="22"/>
          <w:szCs w:val="22"/>
        </w:rPr>
        <w:t>1</w:t>
      </w:r>
      <w:r w:rsidR="00F65A42">
        <w:rPr>
          <w:rFonts w:ascii="Arial" w:hAnsi="Arial" w:cs="Arial"/>
          <w:sz w:val="22"/>
          <w:szCs w:val="22"/>
        </w:rPr>
        <w:t>7</w:t>
      </w:r>
      <w:r w:rsidRPr="00E322F3">
        <w:rPr>
          <w:rFonts w:ascii="Arial" w:hAnsi="Arial" w:cs="Arial"/>
          <w:sz w:val="22"/>
          <w:szCs w:val="22"/>
        </w:rPr>
        <w:t xml:space="preserve"> respecto al del ejercicio anterior se expresan en el informe económico-financiero.</w:t>
      </w:r>
    </w:p>
    <w:p w:rsidR="00314B46" w:rsidRPr="00E322F3" w:rsidRDefault="00314B46" w:rsidP="004F01F4">
      <w:pPr>
        <w:widowControl w:val="0"/>
        <w:ind w:firstLine="708"/>
        <w:rPr>
          <w:rFonts w:ascii="Arial" w:hAnsi="Arial" w:cs="Arial"/>
          <w:sz w:val="22"/>
          <w:szCs w:val="22"/>
        </w:rPr>
      </w:pPr>
    </w:p>
    <w:p w:rsidR="00845C70" w:rsidRPr="00E322F3" w:rsidRDefault="00275EB6" w:rsidP="005F2572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  <w:t>Analizado el presupuesto general para el ejercicio de 2.0</w:t>
      </w:r>
      <w:r w:rsidR="00EC270E" w:rsidRPr="00E322F3">
        <w:rPr>
          <w:rFonts w:ascii="Arial" w:hAnsi="Arial" w:cs="Arial"/>
          <w:sz w:val="22"/>
          <w:szCs w:val="22"/>
        </w:rPr>
        <w:t>1</w:t>
      </w:r>
      <w:r w:rsidR="00F65A42">
        <w:rPr>
          <w:rFonts w:ascii="Arial" w:hAnsi="Arial" w:cs="Arial"/>
          <w:sz w:val="22"/>
          <w:szCs w:val="22"/>
        </w:rPr>
        <w:t>7</w:t>
      </w:r>
      <w:r w:rsidRPr="00E322F3">
        <w:rPr>
          <w:rFonts w:ascii="Arial" w:hAnsi="Arial" w:cs="Arial"/>
          <w:sz w:val="22"/>
          <w:szCs w:val="22"/>
        </w:rPr>
        <w:t xml:space="preserve"> éste aparece </w:t>
      </w:r>
      <w:r w:rsidR="004B5B82" w:rsidRPr="00E322F3">
        <w:rPr>
          <w:rFonts w:ascii="Arial" w:hAnsi="Arial" w:cs="Arial"/>
          <w:sz w:val="22"/>
          <w:szCs w:val="22"/>
        </w:rPr>
        <w:t xml:space="preserve">con </w:t>
      </w:r>
      <w:r w:rsidR="00EC270E" w:rsidRPr="00E322F3">
        <w:rPr>
          <w:rFonts w:ascii="Arial" w:hAnsi="Arial" w:cs="Arial"/>
          <w:sz w:val="22"/>
          <w:szCs w:val="22"/>
        </w:rPr>
        <w:t>equilibrio</w:t>
      </w:r>
      <w:r w:rsidRPr="00E322F3">
        <w:rPr>
          <w:rFonts w:ascii="Arial" w:hAnsi="Arial" w:cs="Arial"/>
          <w:sz w:val="22"/>
          <w:szCs w:val="22"/>
        </w:rPr>
        <w:t xml:space="preserve"> inicial, ajustándose a las normas establecidas en </w:t>
      </w:r>
      <w:r w:rsidR="002020C2" w:rsidRPr="00E322F3">
        <w:rPr>
          <w:rFonts w:ascii="Arial" w:hAnsi="Arial" w:cs="Arial"/>
          <w:sz w:val="22"/>
          <w:szCs w:val="22"/>
        </w:rPr>
        <w:t xml:space="preserve">el R.D. legislativo </w:t>
      </w:r>
      <w:r w:rsidR="005F2572" w:rsidRPr="00E322F3">
        <w:rPr>
          <w:rFonts w:ascii="Arial" w:hAnsi="Arial" w:cs="Arial"/>
          <w:sz w:val="22"/>
          <w:szCs w:val="22"/>
        </w:rPr>
        <w:t xml:space="preserve">2/2004, de 5 de marzo, y la </w:t>
      </w:r>
      <w:r w:rsidR="00EC270E" w:rsidRPr="00E322F3">
        <w:rPr>
          <w:rFonts w:ascii="Arial" w:hAnsi="Arial" w:cs="Arial"/>
          <w:sz w:val="22"/>
          <w:szCs w:val="22"/>
        </w:rPr>
        <w:t xml:space="preserve"> </w:t>
      </w:r>
      <w:r w:rsidR="00EC270E" w:rsidRPr="00E322F3">
        <w:rPr>
          <w:rFonts w:ascii="Arial" w:hAnsi="Arial" w:cs="Arial"/>
          <w:i/>
          <w:iCs/>
          <w:sz w:val="22"/>
          <w:szCs w:val="22"/>
        </w:rPr>
        <w:t>Ley Orgánica 2/2012, de 27 de abril, de Estabilidad Presupuestaria y Sostenibilidad Financiera</w:t>
      </w:r>
      <w:r w:rsidR="002020C2" w:rsidRPr="00E322F3">
        <w:rPr>
          <w:rFonts w:ascii="Arial" w:hAnsi="Arial" w:cs="Arial"/>
          <w:sz w:val="22"/>
          <w:szCs w:val="22"/>
        </w:rPr>
        <w:t>,</w:t>
      </w:r>
      <w:r w:rsidR="00D439F4" w:rsidRPr="00E322F3">
        <w:rPr>
          <w:rFonts w:ascii="Arial" w:hAnsi="Arial" w:cs="Arial"/>
          <w:sz w:val="22"/>
          <w:szCs w:val="22"/>
        </w:rPr>
        <w:t xml:space="preserve"> </w:t>
      </w:r>
      <w:r w:rsidR="005F2572" w:rsidRPr="00E322F3">
        <w:rPr>
          <w:rFonts w:ascii="Arial" w:hAnsi="Arial" w:cs="Arial"/>
          <w:sz w:val="22"/>
          <w:szCs w:val="22"/>
        </w:rPr>
        <w:t xml:space="preserve">en cuanto al cumplimiento </w:t>
      </w:r>
      <w:r w:rsidR="00314B46" w:rsidRPr="00E322F3">
        <w:rPr>
          <w:rFonts w:ascii="Arial" w:hAnsi="Arial" w:cs="Arial"/>
          <w:sz w:val="22"/>
          <w:szCs w:val="22"/>
        </w:rPr>
        <w:t>de la estabilidad presupuestaria y regla del gasto</w:t>
      </w:r>
      <w:r w:rsidR="00F65A42">
        <w:rPr>
          <w:rFonts w:ascii="Arial" w:hAnsi="Arial" w:cs="Arial"/>
          <w:sz w:val="22"/>
          <w:szCs w:val="22"/>
        </w:rPr>
        <w:t xml:space="preserve"> establecido en el Plan Económico-Financiero,</w:t>
      </w:r>
      <w:r w:rsidR="00314B46" w:rsidRPr="00E322F3">
        <w:rPr>
          <w:rFonts w:ascii="Arial" w:hAnsi="Arial" w:cs="Arial"/>
          <w:sz w:val="22"/>
          <w:szCs w:val="22"/>
        </w:rPr>
        <w:t xml:space="preserve"> así como no superar </w:t>
      </w:r>
      <w:r w:rsidR="005F2572" w:rsidRPr="00E322F3">
        <w:rPr>
          <w:rFonts w:ascii="Arial" w:hAnsi="Arial" w:cs="Arial"/>
          <w:sz w:val="22"/>
          <w:szCs w:val="22"/>
        </w:rPr>
        <w:t>de</w:t>
      </w:r>
      <w:r w:rsidR="00314B46" w:rsidRPr="00E322F3">
        <w:rPr>
          <w:rFonts w:ascii="Arial" w:hAnsi="Arial" w:cs="Arial"/>
          <w:sz w:val="22"/>
          <w:szCs w:val="22"/>
        </w:rPr>
        <w:t>l límite de gasto no financiero,</w:t>
      </w:r>
      <w:r w:rsidR="005E60D0" w:rsidRPr="00E322F3">
        <w:rPr>
          <w:rFonts w:ascii="Arial" w:hAnsi="Arial" w:cs="Arial"/>
          <w:sz w:val="22"/>
          <w:szCs w:val="22"/>
        </w:rPr>
        <w:t xml:space="preserve"> al resultar el saldo de autofinanciación positivo,</w:t>
      </w:r>
      <w:r w:rsidR="00D439F4" w:rsidRPr="00E322F3">
        <w:rPr>
          <w:rFonts w:ascii="Arial" w:hAnsi="Arial" w:cs="Arial"/>
          <w:sz w:val="22"/>
          <w:szCs w:val="22"/>
        </w:rPr>
        <w:t xml:space="preserve"> justificándose en informe independiente a éste,</w:t>
      </w:r>
      <w:r w:rsidRPr="00E322F3">
        <w:rPr>
          <w:rFonts w:ascii="Arial" w:hAnsi="Arial" w:cs="Arial"/>
          <w:sz w:val="22"/>
          <w:szCs w:val="22"/>
        </w:rPr>
        <w:t xml:space="preserve"> así como el R.D. 500/90, sobre normativa presupuestaria, cumpliendo los créditos destinados a complemento específico, complemento de productividad, y gratificaciones, los límites que establece el artículo 7 del R.D.861/1986, de 25 de abril, por el que se establece el régimen de retribuciones de los funcionarios de Administración Local</w:t>
      </w:r>
      <w:r w:rsidR="007A48B2" w:rsidRPr="00E322F3">
        <w:rPr>
          <w:rFonts w:ascii="Arial" w:hAnsi="Arial" w:cs="Arial"/>
          <w:sz w:val="22"/>
          <w:szCs w:val="22"/>
        </w:rPr>
        <w:t xml:space="preserve">, </w:t>
      </w:r>
      <w:r w:rsidR="00E20478" w:rsidRPr="00E322F3">
        <w:rPr>
          <w:rFonts w:ascii="Arial" w:hAnsi="Arial" w:cs="Arial"/>
          <w:sz w:val="22"/>
          <w:szCs w:val="22"/>
        </w:rPr>
        <w:t xml:space="preserve">habiéndose adaptado el régimen </w:t>
      </w:r>
      <w:r w:rsidR="00F475EA" w:rsidRPr="00E322F3">
        <w:rPr>
          <w:rFonts w:ascii="Arial" w:hAnsi="Arial" w:cs="Arial"/>
          <w:sz w:val="22"/>
          <w:szCs w:val="22"/>
        </w:rPr>
        <w:t xml:space="preserve"> retributivo establecido </w:t>
      </w:r>
      <w:r w:rsidR="00E20478" w:rsidRPr="00E322F3">
        <w:rPr>
          <w:rFonts w:ascii="Arial" w:hAnsi="Arial" w:cs="Arial"/>
          <w:sz w:val="22"/>
          <w:szCs w:val="22"/>
        </w:rPr>
        <w:t xml:space="preserve">en el R.D.  Ley 8/2010, de 20 de mayo, y al </w:t>
      </w:r>
      <w:r w:rsidR="004B5B82" w:rsidRPr="00E322F3">
        <w:rPr>
          <w:rFonts w:ascii="Arial" w:hAnsi="Arial" w:cs="Arial"/>
          <w:sz w:val="22"/>
          <w:szCs w:val="22"/>
          <w:lang w:val="es-ES_tradnl"/>
        </w:rPr>
        <w:t>R.D. ley 20/2011, de 30 de diciembre, de medidas urgentes en materia presupuestaria, tributaria, y financiera para la corrección del déficit público</w:t>
      </w:r>
      <w:r w:rsidR="00E20478" w:rsidRPr="00E322F3">
        <w:rPr>
          <w:rFonts w:ascii="Arial" w:hAnsi="Arial" w:cs="Arial"/>
          <w:sz w:val="22"/>
          <w:szCs w:val="22"/>
        </w:rPr>
        <w:t>.</w:t>
      </w:r>
    </w:p>
    <w:p w:rsidR="00E20478" w:rsidRPr="00E322F3" w:rsidRDefault="00E20478">
      <w:pPr>
        <w:rPr>
          <w:rFonts w:ascii="Arial" w:hAnsi="Arial" w:cs="Arial"/>
          <w:sz w:val="22"/>
          <w:szCs w:val="22"/>
        </w:rPr>
      </w:pPr>
    </w:p>
    <w:p w:rsidR="00845C70" w:rsidRPr="00E322F3" w:rsidRDefault="00845C70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  <w:t>La estructura presupuestaria será la establecida por la ORDEN</w:t>
      </w:r>
      <w:r w:rsidR="00E322F3" w:rsidRPr="00E322F3">
        <w:rPr>
          <w:rFonts w:ascii="Arial" w:hAnsi="Arial" w:cs="Arial"/>
          <w:sz w:val="22"/>
          <w:szCs w:val="22"/>
        </w:rPr>
        <w:t xml:space="preserve"> HAP</w:t>
      </w:r>
      <w:r w:rsidRPr="00E322F3">
        <w:rPr>
          <w:rFonts w:ascii="Arial" w:hAnsi="Arial" w:cs="Arial"/>
          <w:sz w:val="22"/>
          <w:szCs w:val="22"/>
        </w:rPr>
        <w:t>/</w:t>
      </w:r>
      <w:r w:rsidR="00E322F3" w:rsidRPr="00E322F3">
        <w:rPr>
          <w:rFonts w:ascii="Arial" w:hAnsi="Arial" w:cs="Arial"/>
          <w:sz w:val="22"/>
          <w:szCs w:val="22"/>
        </w:rPr>
        <w:t>419</w:t>
      </w:r>
      <w:r w:rsidRPr="00E322F3">
        <w:rPr>
          <w:rFonts w:ascii="Arial" w:hAnsi="Arial" w:cs="Arial"/>
          <w:sz w:val="22"/>
          <w:szCs w:val="22"/>
        </w:rPr>
        <w:t>/20</w:t>
      </w:r>
      <w:r w:rsidR="00E322F3" w:rsidRPr="00E322F3">
        <w:rPr>
          <w:rFonts w:ascii="Arial" w:hAnsi="Arial" w:cs="Arial"/>
          <w:sz w:val="22"/>
          <w:szCs w:val="22"/>
        </w:rPr>
        <w:t>14</w:t>
      </w:r>
      <w:r w:rsidRPr="00E322F3">
        <w:rPr>
          <w:rFonts w:ascii="Arial" w:hAnsi="Arial" w:cs="Arial"/>
          <w:sz w:val="22"/>
          <w:szCs w:val="22"/>
        </w:rPr>
        <w:t xml:space="preserve">, de </w:t>
      </w:r>
      <w:r w:rsidR="00E322F3" w:rsidRPr="00E322F3">
        <w:rPr>
          <w:rFonts w:ascii="Arial" w:hAnsi="Arial" w:cs="Arial"/>
          <w:sz w:val="22"/>
          <w:szCs w:val="22"/>
        </w:rPr>
        <w:t>14</w:t>
      </w:r>
      <w:r w:rsidRPr="00E322F3">
        <w:rPr>
          <w:rFonts w:ascii="Arial" w:hAnsi="Arial" w:cs="Arial"/>
          <w:sz w:val="22"/>
          <w:szCs w:val="22"/>
        </w:rPr>
        <w:t xml:space="preserve"> de </w:t>
      </w:r>
      <w:r w:rsidR="00E322F3" w:rsidRPr="00E322F3">
        <w:rPr>
          <w:rFonts w:ascii="Arial" w:hAnsi="Arial" w:cs="Arial"/>
          <w:sz w:val="22"/>
          <w:szCs w:val="22"/>
        </w:rPr>
        <w:t>marzo</w:t>
      </w:r>
      <w:r w:rsidRPr="00E322F3">
        <w:rPr>
          <w:rFonts w:ascii="Arial" w:hAnsi="Arial" w:cs="Arial"/>
          <w:sz w:val="22"/>
          <w:szCs w:val="22"/>
        </w:rPr>
        <w:t xml:space="preserve">, de aplicación según la disposición final </w:t>
      </w:r>
      <w:r w:rsidR="00E322F3" w:rsidRPr="00E322F3">
        <w:rPr>
          <w:rFonts w:ascii="Arial" w:hAnsi="Arial" w:cs="Arial"/>
          <w:sz w:val="22"/>
          <w:szCs w:val="22"/>
        </w:rPr>
        <w:t>segunda</w:t>
      </w:r>
      <w:r w:rsidRPr="00E322F3">
        <w:rPr>
          <w:rFonts w:ascii="Arial" w:hAnsi="Arial" w:cs="Arial"/>
          <w:sz w:val="22"/>
          <w:szCs w:val="22"/>
        </w:rPr>
        <w:t>, al presupuesto correspondiente al ejercicio 2.01</w:t>
      </w:r>
      <w:r w:rsidR="00E322F3" w:rsidRPr="00E322F3">
        <w:rPr>
          <w:rFonts w:ascii="Arial" w:hAnsi="Arial" w:cs="Arial"/>
          <w:sz w:val="22"/>
          <w:szCs w:val="22"/>
        </w:rPr>
        <w:t>5</w:t>
      </w:r>
      <w:r w:rsidRPr="00E322F3">
        <w:rPr>
          <w:rFonts w:ascii="Arial" w:hAnsi="Arial" w:cs="Arial"/>
          <w:sz w:val="22"/>
          <w:szCs w:val="22"/>
        </w:rPr>
        <w:t xml:space="preserve"> y siguientes.</w:t>
      </w:r>
    </w:p>
    <w:p w:rsidR="00DE0D44" w:rsidRPr="00E322F3" w:rsidRDefault="00DE0D44">
      <w:pPr>
        <w:rPr>
          <w:rFonts w:ascii="Arial" w:hAnsi="Arial" w:cs="Arial"/>
          <w:sz w:val="22"/>
          <w:szCs w:val="22"/>
        </w:rPr>
      </w:pPr>
    </w:p>
    <w:p w:rsidR="00275EB6" w:rsidRPr="00E322F3" w:rsidRDefault="00DE0D44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</w:r>
      <w:r w:rsidR="00275EB6" w:rsidRPr="00E322F3">
        <w:rPr>
          <w:rFonts w:ascii="Arial" w:hAnsi="Arial" w:cs="Arial"/>
          <w:sz w:val="22"/>
          <w:szCs w:val="22"/>
        </w:rPr>
        <w:t>De obtenerse remanente de tesorería negativo en la liquidación del presupuesto de 2.0</w:t>
      </w:r>
      <w:r w:rsidR="00220E7C" w:rsidRPr="00E322F3">
        <w:rPr>
          <w:rFonts w:ascii="Arial" w:hAnsi="Arial" w:cs="Arial"/>
          <w:sz w:val="22"/>
          <w:szCs w:val="22"/>
        </w:rPr>
        <w:t>1</w:t>
      </w:r>
      <w:r w:rsidR="00F65A42">
        <w:rPr>
          <w:rFonts w:ascii="Arial" w:hAnsi="Arial" w:cs="Arial"/>
          <w:sz w:val="22"/>
          <w:szCs w:val="22"/>
        </w:rPr>
        <w:t>7</w:t>
      </w:r>
      <w:r w:rsidR="00275EB6" w:rsidRPr="00E322F3">
        <w:rPr>
          <w:rFonts w:ascii="Arial" w:hAnsi="Arial" w:cs="Arial"/>
          <w:sz w:val="22"/>
          <w:szCs w:val="22"/>
        </w:rPr>
        <w:t xml:space="preserve">, se deberá proceder a adoptar por el Pleno de la Corporación, las medidas establecidas en el artículo </w:t>
      </w:r>
      <w:r w:rsidR="00D439F4" w:rsidRPr="00E322F3">
        <w:rPr>
          <w:rFonts w:ascii="Arial" w:hAnsi="Arial" w:cs="Arial"/>
          <w:sz w:val="22"/>
          <w:szCs w:val="22"/>
        </w:rPr>
        <w:t>193</w:t>
      </w:r>
      <w:r w:rsidR="00275EB6" w:rsidRPr="00E322F3">
        <w:rPr>
          <w:rFonts w:ascii="Arial" w:hAnsi="Arial" w:cs="Arial"/>
          <w:sz w:val="22"/>
          <w:szCs w:val="22"/>
        </w:rPr>
        <w:t xml:space="preserve"> de</w:t>
      </w:r>
      <w:r w:rsidR="00D439F4" w:rsidRPr="00E322F3">
        <w:rPr>
          <w:rFonts w:ascii="Arial" w:hAnsi="Arial" w:cs="Arial"/>
          <w:sz w:val="22"/>
          <w:szCs w:val="22"/>
        </w:rPr>
        <w:t>l R.D. legislativo 2/2004, de 5 de marzo.</w:t>
      </w:r>
    </w:p>
    <w:p w:rsidR="00275EB6" w:rsidRPr="00E322F3" w:rsidRDefault="00275EB6">
      <w:pPr>
        <w:rPr>
          <w:rFonts w:ascii="Arial" w:hAnsi="Arial" w:cs="Arial"/>
          <w:sz w:val="22"/>
          <w:szCs w:val="22"/>
        </w:rPr>
      </w:pPr>
    </w:p>
    <w:p w:rsidR="00E322F3" w:rsidRDefault="00275EB6" w:rsidP="002D03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</w:r>
      <w:r w:rsidR="00E322F3" w:rsidRPr="00E322F3">
        <w:rPr>
          <w:rFonts w:ascii="Arial" w:hAnsi="Arial" w:cs="Arial"/>
          <w:sz w:val="22"/>
          <w:szCs w:val="22"/>
        </w:rPr>
        <w:t>La LOEPSF (art. 13) establece la obligación de no rebasar el límite de deuda pública que para las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="00E322F3" w:rsidRPr="00E322F3">
        <w:rPr>
          <w:rFonts w:ascii="Arial" w:hAnsi="Arial" w:cs="Arial"/>
          <w:sz w:val="22"/>
          <w:szCs w:val="22"/>
        </w:rPr>
        <w:t xml:space="preserve">Entidades locales ha sido fijado en el </w:t>
      </w:r>
      <w:r w:rsidR="002D03FD">
        <w:rPr>
          <w:rFonts w:ascii="Arial" w:hAnsi="Arial" w:cs="Arial"/>
          <w:sz w:val="22"/>
          <w:szCs w:val="22"/>
        </w:rPr>
        <w:t>3,</w:t>
      </w:r>
      <w:r w:rsidR="005B5D93">
        <w:rPr>
          <w:rFonts w:ascii="Arial" w:hAnsi="Arial" w:cs="Arial"/>
          <w:sz w:val="22"/>
          <w:szCs w:val="22"/>
        </w:rPr>
        <w:t>4</w:t>
      </w:r>
      <w:r w:rsidR="00E322F3" w:rsidRPr="00E322F3">
        <w:rPr>
          <w:rFonts w:ascii="Arial" w:hAnsi="Arial" w:cs="Arial"/>
          <w:sz w:val="22"/>
          <w:szCs w:val="22"/>
        </w:rPr>
        <w:t xml:space="preserve"> % del PIB para </w:t>
      </w:r>
      <w:r w:rsidR="002D03FD">
        <w:rPr>
          <w:rFonts w:ascii="Arial" w:hAnsi="Arial" w:cs="Arial"/>
          <w:sz w:val="22"/>
          <w:szCs w:val="22"/>
        </w:rPr>
        <w:t>el</w:t>
      </w:r>
      <w:r w:rsidR="00E322F3" w:rsidRPr="00E322F3">
        <w:rPr>
          <w:rFonts w:ascii="Arial" w:hAnsi="Arial" w:cs="Arial"/>
          <w:sz w:val="22"/>
          <w:szCs w:val="22"/>
        </w:rPr>
        <w:t xml:space="preserve"> ejerci</w:t>
      </w:r>
      <w:r w:rsidR="004C6D44">
        <w:rPr>
          <w:rFonts w:ascii="Arial" w:hAnsi="Arial" w:cs="Arial"/>
          <w:sz w:val="22"/>
          <w:szCs w:val="22"/>
        </w:rPr>
        <w:t>cio</w:t>
      </w:r>
      <w:r w:rsidR="00F65A42">
        <w:rPr>
          <w:rFonts w:ascii="Arial" w:hAnsi="Arial" w:cs="Arial"/>
          <w:sz w:val="22"/>
          <w:szCs w:val="22"/>
        </w:rPr>
        <w:t xml:space="preserve"> 2017</w:t>
      </w:r>
      <w:r w:rsidR="002D03FD">
        <w:rPr>
          <w:rFonts w:ascii="Arial" w:hAnsi="Arial" w:cs="Arial"/>
          <w:sz w:val="22"/>
          <w:szCs w:val="22"/>
        </w:rPr>
        <w:t>, p</w:t>
      </w:r>
      <w:r w:rsidR="00E322F3" w:rsidRPr="00E322F3">
        <w:rPr>
          <w:rFonts w:ascii="Arial" w:hAnsi="Arial" w:cs="Arial"/>
          <w:sz w:val="22"/>
          <w:szCs w:val="22"/>
        </w:rPr>
        <w:t>ero no se ha determinado el PIB para el cálculo en términos de ingresos no financieros, por lo que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="00E322F3" w:rsidRPr="00E322F3">
        <w:rPr>
          <w:rFonts w:ascii="Arial" w:hAnsi="Arial" w:cs="Arial"/>
          <w:sz w:val="22"/>
          <w:szCs w:val="22"/>
        </w:rPr>
        <w:t>el informe sobre este extremo se reduce a calcular el “nivel de deuda viva según el Protocolo del Déficit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="00E322F3" w:rsidRPr="00E322F3">
        <w:rPr>
          <w:rFonts w:ascii="Arial" w:hAnsi="Arial" w:cs="Arial"/>
          <w:sz w:val="22"/>
          <w:szCs w:val="22"/>
        </w:rPr>
        <w:t>Excesivo” y el “nivel de deuda viva formalizada”.</w:t>
      </w:r>
    </w:p>
    <w:p w:rsidR="002D03FD" w:rsidRPr="00E322F3" w:rsidRDefault="002D03FD" w:rsidP="002D03F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322F3" w:rsidRDefault="00E322F3" w:rsidP="002D03FD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El modelo diseñado por la Subdirección General de Relaciones Financieras con las Entidades Locales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>para la remisión de información por parte del Interventor municipal con motivo de la aprobación del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>Presupuesto 201</w:t>
      </w:r>
      <w:r w:rsidR="00F65A42">
        <w:rPr>
          <w:rFonts w:ascii="Arial" w:hAnsi="Arial" w:cs="Arial"/>
          <w:sz w:val="22"/>
          <w:szCs w:val="22"/>
        </w:rPr>
        <w:t>7</w:t>
      </w:r>
      <w:r w:rsidRPr="00E322F3">
        <w:rPr>
          <w:rFonts w:ascii="Arial" w:hAnsi="Arial" w:cs="Arial"/>
          <w:sz w:val="22"/>
          <w:szCs w:val="22"/>
        </w:rPr>
        <w:t>, que se cumplimentó a través de la plataforma habilitada en la Oficina Virtual del</w:t>
      </w:r>
      <w:r w:rsidR="002D03FD">
        <w:rPr>
          <w:rFonts w:ascii="Arial" w:hAnsi="Arial" w:cs="Arial"/>
          <w:sz w:val="22"/>
          <w:szCs w:val="22"/>
        </w:rPr>
        <w:t xml:space="preserve"> M</w:t>
      </w:r>
      <w:r w:rsidRPr="00E322F3">
        <w:rPr>
          <w:rFonts w:ascii="Arial" w:hAnsi="Arial" w:cs="Arial"/>
          <w:sz w:val="22"/>
          <w:szCs w:val="22"/>
        </w:rPr>
        <w:t>inisterio de Hacienda y Administraciones Públicas, utilizaba el apuntado criterio de deuda según el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>Protocolo de déficit excesivo que es más amplio que el que se ha de utilizar para estimar el porcentaje de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>deuda viva en términos del artículo 53 del TRLRHL para nuevas concertaciones de préstamos.</w:t>
      </w:r>
    </w:p>
    <w:p w:rsidR="002D03FD" w:rsidRPr="00E322F3" w:rsidRDefault="002D03FD" w:rsidP="002D03FD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E322F3" w:rsidRDefault="00CC1F80" w:rsidP="002D03FD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  <w:r w:rsidRPr="00F46570">
        <w:rPr>
          <w:rFonts w:ascii="Arial" w:hAnsi="Arial" w:cs="Arial"/>
          <w:sz w:val="22"/>
          <w:szCs w:val="22"/>
        </w:rPr>
        <w:t>El volumen de deuda viva estimado a 31.12.201</w:t>
      </w:r>
      <w:r w:rsidR="00F65A4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según anexo al Presupuesto, se cifra en 2</w:t>
      </w:r>
      <w:r w:rsidR="00F65A42">
        <w:rPr>
          <w:rFonts w:ascii="Arial" w:hAnsi="Arial" w:cs="Arial"/>
          <w:sz w:val="22"/>
          <w:szCs w:val="22"/>
        </w:rPr>
        <w:t>2.043.923,60</w:t>
      </w:r>
      <w:r>
        <w:rPr>
          <w:rFonts w:ascii="Arial" w:hAnsi="Arial" w:cs="Arial"/>
          <w:sz w:val="22"/>
          <w:szCs w:val="22"/>
        </w:rPr>
        <w:t xml:space="preserve"> </w:t>
      </w:r>
      <w:r w:rsidRPr="00F46570">
        <w:rPr>
          <w:rFonts w:ascii="Arial" w:hAnsi="Arial" w:cs="Arial"/>
          <w:sz w:val="22"/>
          <w:szCs w:val="22"/>
        </w:rPr>
        <w:t>euros</w:t>
      </w:r>
      <w:r w:rsidR="003B5710">
        <w:rPr>
          <w:rFonts w:ascii="Arial" w:hAnsi="Arial" w:cs="Arial"/>
          <w:sz w:val="22"/>
          <w:szCs w:val="22"/>
        </w:rPr>
        <w:t>, que representa</w:t>
      </w:r>
      <w:r w:rsidR="002D03FD">
        <w:rPr>
          <w:rFonts w:ascii="Arial" w:hAnsi="Arial" w:cs="Arial"/>
          <w:sz w:val="22"/>
          <w:szCs w:val="22"/>
        </w:rPr>
        <w:t xml:space="preserve"> el </w:t>
      </w:r>
      <w:r w:rsidR="003B5710">
        <w:rPr>
          <w:rFonts w:ascii="Arial" w:hAnsi="Arial" w:cs="Arial"/>
          <w:sz w:val="22"/>
          <w:szCs w:val="22"/>
        </w:rPr>
        <w:t>42,47</w:t>
      </w:r>
      <w:r w:rsidR="00E322F3" w:rsidRPr="002D03FD">
        <w:rPr>
          <w:rFonts w:ascii="Arial" w:hAnsi="Arial" w:cs="Arial"/>
          <w:bCs/>
          <w:sz w:val="22"/>
          <w:szCs w:val="22"/>
        </w:rPr>
        <w:t>%</w:t>
      </w:r>
      <w:r w:rsidR="00E322F3" w:rsidRPr="00E322F3">
        <w:rPr>
          <w:rFonts w:ascii="Arial" w:hAnsi="Arial" w:cs="Arial"/>
          <w:b/>
          <w:bCs/>
          <w:sz w:val="22"/>
          <w:szCs w:val="22"/>
        </w:rPr>
        <w:t xml:space="preserve"> </w:t>
      </w:r>
      <w:r w:rsidR="00E322F3" w:rsidRPr="00E322F3">
        <w:rPr>
          <w:rFonts w:ascii="Arial" w:hAnsi="Arial" w:cs="Arial"/>
          <w:sz w:val="22"/>
          <w:szCs w:val="22"/>
        </w:rPr>
        <w:t>respecto de los</w:t>
      </w:r>
      <w:r w:rsidR="002D03FD">
        <w:rPr>
          <w:rFonts w:ascii="Arial" w:hAnsi="Arial" w:cs="Arial"/>
          <w:sz w:val="22"/>
          <w:szCs w:val="22"/>
        </w:rPr>
        <w:t xml:space="preserve"> </w:t>
      </w:r>
      <w:r w:rsidR="00E322F3" w:rsidRPr="00E322F3">
        <w:rPr>
          <w:rFonts w:ascii="Arial" w:hAnsi="Arial" w:cs="Arial"/>
          <w:sz w:val="22"/>
          <w:szCs w:val="22"/>
        </w:rPr>
        <w:t>ingresos corrientes c</w:t>
      </w:r>
      <w:r>
        <w:rPr>
          <w:rFonts w:ascii="Arial" w:hAnsi="Arial" w:cs="Arial"/>
          <w:sz w:val="22"/>
          <w:szCs w:val="22"/>
        </w:rPr>
        <w:t>omputables del presupuesto 2.01</w:t>
      </w:r>
      <w:r w:rsidR="003B5710">
        <w:rPr>
          <w:rFonts w:ascii="Arial" w:hAnsi="Arial" w:cs="Arial"/>
          <w:sz w:val="22"/>
          <w:szCs w:val="22"/>
        </w:rPr>
        <w:t>7.</w:t>
      </w:r>
    </w:p>
    <w:p w:rsidR="002D03FD" w:rsidRDefault="002D03FD" w:rsidP="002D03FD">
      <w:pPr>
        <w:autoSpaceDE w:val="0"/>
        <w:autoSpaceDN w:val="0"/>
        <w:adjustRightInd w:val="0"/>
        <w:ind w:firstLine="708"/>
        <w:rPr>
          <w:rFonts w:ascii="Arial" w:hAnsi="Arial" w:cs="Arial"/>
          <w:sz w:val="22"/>
          <w:szCs w:val="22"/>
        </w:rPr>
      </w:pPr>
    </w:p>
    <w:p w:rsidR="00CB3A7D" w:rsidRPr="00E322F3" w:rsidRDefault="00E20478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lastRenderedPageBreak/>
        <w:tab/>
      </w:r>
      <w:r w:rsidR="00275EB6" w:rsidRPr="00E322F3">
        <w:rPr>
          <w:rFonts w:ascii="Arial" w:hAnsi="Arial" w:cs="Arial"/>
          <w:sz w:val="22"/>
          <w:szCs w:val="22"/>
        </w:rPr>
        <w:t>En cuanto al órgano competente de aprobación del expediente, será el Pleno de la Corporación, de conformidad con lo establecido en el artículo 1</w:t>
      </w:r>
      <w:r w:rsidR="00815788" w:rsidRPr="00E322F3">
        <w:rPr>
          <w:rFonts w:ascii="Arial" w:hAnsi="Arial" w:cs="Arial"/>
          <w:sz w:val="22"/>
          <w:szCs w:val="22"/>
        </w:rPr>
        <w:t>68</w:t>
      </w:r>
      <w:r w:rsidR="00275EB6" w:rsidRPr="00E322F3">
        <w:rPr>
          <w:rFonts w:ascii="Arial" w:hAnsi="Arial" w:cs="Arial"/>
          <w:sz w:val="22"/>
          <w:szCs w:val="22"/>
        </w:rPr>
        <w:t>.4, de</w:t>
      </w:r>
      <w:r w:rsidR="00815788" w:rsidRPr="00E322F3">
        <w:rPr>
          <w:rFonts w:ascii="Arial" w:hAnsi="Arial" w:cs="Arial"/>
          <w:sz w:val="22"/>
          <w:szCs w:val="22"/>
        </w:rPr>
        <w:t>l R.D. Legislativo 2/2004, de 5 de marzo</w:t>
      </w:r>
      <w:r w:rsidR="00275EB6" w:rsidRPr="00E322F3">
        <w:rPr>
          <w:rFonts w:ascii="Arial" w:hAnsi="Arial" w:cs="Arial"/>
          <w:sz w:val="22"/>
          <w:szCs w:val="22"/>
        </w:rPr>
        <w:t xml:space="preserve">, </w:t>
      </w:r>
      <w:r w:rsidR="00845C70" w:rsidRPr="00E322F3">
        <w:rPr>
          <w:rFonts w:ascii="Arial" w:hAnsi="Arial" w:cs="Arial"/>
          <w:sz w:val="22"/>
          <w:szCs w:val="22"/>
        </w:rPr>
        <w:t xml:space="preserve">no </w:t>
      </w:r>
      <w:r w:rsidR="00275EB6" w:rsidRPr="00E322F3">
        <w:rPr>
          <w:rFonts w:ascii="Arial" w:hAnsi="Arial" w:cs="Arial"/>
          <w:sz w:val="22"/>
          <w:szCs w:val="22"/>
        </w:rPr>
        <w:t>requ</w:t>
      </w:r>
      <w:r w:rsidR="00E35E25" w:rsidRPr="00E322F3">
        <w:rPr>
          <w:rFonts w:ascii="Arial" w:hAnsi="Arial" w:cs="Arial"/>
          <w:sz w:val="22"/>
          <w:szCs w:val="22"/>
        </w:rPr>
        <w:t>i</w:t>
      </w:r>
      <w:r w:rsidR="00275EB6" w:rsidRPr="00E322F3">
        <w:rPr>
          <w:rFonts w:ascii="Arial" w:hAnsi="Arial" w:cs="Arial"/>
          <w:sz w:val="22"/>
          <w:szCs w:val="22"/>
        </w:rPr>
        <w:t>ri</w:t>
      </w:r>
      <w:r w:rsidR="00E35E25" w:rsidRPr="00E322F3">
        <w:rPr>
          <w:rFonts w:ascii="Arial" w:hAnsi="Arial" w:cs="Arial"/>
          <w:sz w:val="22"/>
          <w:szCs w:val="22"/>
        </w:rPr>
        <w:t>éndose</w:t>
      </w:r>
      <w:r w:rsidR="00275EB6" w:rsidRPr="00E322F3">
        <w:rPr>
          <w:rFonts w:ascii="Arial" w:hAnsi="Arial" w:cs="Arial"/>
          <w:sz w:val="22"/>
          <w:szCs w:val="22"/>
        </w:rPr>
        <w:t xml:space="preserve"> mayoría absoluta del número legal de miembros de la Corporación</w:t>
      </w:r>
      <w:r w:rsidR="00CB3A7D" w:rsidRPr="00E322F3">
        <w:rPr>
          <w:rFonts w:ascii="Arial" w:hAnsi="Arial" w:cs="Arial"/>
          <w:sz w:val="22"/>
          <w:szCs w:val="22"/>
        </w:rPr>
        <w:t>.</w:t>
      </w:r>
    </w:p>
    <w:p w:rsidR="00275EB6" w:rsidRPr="00E322F3" w:rsidRDefault="00CB3A7D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 xml:space="preserve"> </w:t>
      </w:r>
    </w:p>
    <w:p w:rsidR="00275EB6" w:rsidRPr="00E322F3" w:rsidRDefault="00275EB6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  <w:t>Aprobado inicialmente el Presupuesto, se expondrá al público, previo anuncio en el Boletín Oficial de la Provincia, por quince días, durante los cuales los interesados podrán examinarlo y presentar reclamaciones ante el Pleno. El Presupuesto se considerará definitivamente aprobado si durante dicho plazo no se hubiesen presentado reclamaciones; en caso contrario, el Pleno dispondrá de un mes para resolverlas.</w:t>
      </w:r>
    </w:p>
    <w:p w:rsidR="00275EB6" w:rsidRPr="00E322F3" w:rsidRDefault="00275EB6">
      <w:pPr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ab/>
        <w:t xml:space="preserve">En conclusión, se emite informe favorable del expediente de presupuesto general </w:t>
      </w:r>
      <w:r w:rsidR="00CB3A7D" w:rsidRPr="00E322F3">
        <w:rPr>
          <w:rFonts w:ascii="Arial" w:hAnsi="Arial" w:cs="Arial"/>
          <w:sz w:val="22"/>
          <w:szCs w:val="22"/>
        </w:rPr>
        <w:t>p</w:t>
      </w:r>
      <w:r w:rsidRPr="00E322F3">
        <w:rPr>
          <w:rFonts w:ascii="Arial" w:hAnsi="Arial" w:cs="Arial"/>
          <w:sz w:val="22"/>
          <w:szCs w:val="22"/>
        </w:rPr>
        <w:t>ara 2.0</w:t>
      </w:r>
      <w:r w:rsidR="00845C70" w:rsidRPr="00E322F3">
        <w:rPr>
          <w:rFonts w:ascii="Arial" w:hAnsi="Arial" w:cs="Arial"/>
          <w:sz w:val="22"/>
          <w:szCs w:val="22"/>
        </w:rPr>
        <w:t>1</w:t>
      </w:r>
      <w:r w:rsidR="003B5710">
        <w:rPr>
          <w:rFonts w:ascii="Arial" w:hAnsi="Arial" w:cs="Arial"/>
          <w:sz w:val="22"/>
          <w:szCs w:val="22"/>
        </w:rPr>
        <w:t>7</w:t>
      </w:r>
      <w:r w:rsidR="005B5D93">
        <w:rPr>
          <w:rFonts w:ascii="Arial" w:hAnsi="Arial" w:cs="Arial"/>
          <w:sz w:val="22"/>
          <w:szCs w:val="22"/>
        </w:rPr>
        <w:t>.</w:t>
      </w:r>
    </w:p>
    <w:p w:rsidR="00275EB6" w:rsidRPr="00E322F3" w:rsidRDefault="00275EB6">
      <w:pPr>
        <w:rPr>
          <w:rFonts w:ascii="Arial" w:hAnsi="Arial" w:cs="Arial"/>
          <w:sz w:val="22"/>
          <w:szCs w:val="22"/>
        </w:rPr>
      </w:pPr>
    </w:p>
    <w:p w:rsidR="00275EB6" w:rsidRPr="00E322F3" w:rsidRDefault="00275EB6">
      <w:pPr>
        <w:jc w:val="center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 xml:space="preserve">Dénia a </w:t>
      </w:r>
      <w:r w:rsidR="003B5710">
        <w:rPr>
          <w:rFonts w:ascii="Arial" w:hAnsi="Arial" w:cs="Arial"/>
          <w:sz w:val="22"/>
          <w:szCs w:val="22"/>
        </w:rPr>
        <w:t>4</w:t>
      </w:r>
      <w:r w:rsidR="0007083F" w:rsidRPr="00E322F3">
        <w:rPr>
          <w:rFonts w:ascii="Arial" w:hAnsi="Arial" w:cs="Arial"/>
          <w:sz w:val="22"/>
          <w:szCs w:val="22"/>
        </w:rPr>
        <w:t xml:space="preserve"> </w:t>
      </w:r>
      <w:r w:rsidRPr="00E322F3">
        <w:rPr>
          <w:rFonts w:ascii="Arial" w:hAnsi="Arial" w:cs="Arial"/>
          <w:sz w:val="22"/>
          <w:szCs w:val="22"/>
        </w:rPr>
        <w:t xml:space="preserve">de </w:t>
      </w:r>
      <w:r w:rsidR="003B5710">
        <w:rPr>
          <w:rFonts w:ascii="Arial" w:hAnsi="Arial" w:cs="Arial"/>
          <w:sz w:val="22"/>
          <w:szCs w:val="22"/>
        </w:rPr>
        <w:t>mayo</w:t>
      </w:r>
      <w:r w:rsidR="004933D7" w:rsidRPr="00E322F3">
        <w:rPr>
          <w:rFonts w:ascii="Arial" w:hAnsi="Arial" w:cs="Arial"/>
          <w:sz w:val="22"/>
          <w:szCs w:val="22"/>
        </w:rPr>
        <w:t xml:space="preserve"> de 2.0</w:t>
      </w:r>
      <w:r w:rsidR="0007083F" w:rsidRPr="00E322F3">
        <w:rPr>
          <w:rFonts w:ascii="Arial" w:hAnsi="Arial" w:cs="Arial"/>
          <w:sz w:val="22"/>
          <w:szCs w:val="22"/>
        </w:rPr>
        <w:t>1</w:t>
      </w:r>
      <w:r w:rsidR="003B5710">
        <w:rPr>
          <w:rFonts w:ascii="Arial" w:hAnsi="Arial" w:cs="Arial"/>
          <w:sz w:val="22"/>
          <w:szCs w:val="22"/>
        </w:rPr>
        <w:t>7</w:t>
      </w:r>
      <w:r w:rsidRPr="00E322F3">
        <w:rPr>
          <w:rFonts w:ascii="Arial" w:hAnsi="Arial" w:cs="Arial"/>
          <w:sz w:val="22"/>
          <w:szCs w:val="22"/>
        </w:rPr>
        <w:t>.</w:t>
      </w:r>
    </w:p>
    <w:p w:rsidR="00C320F8" w:rsidRPr="00E322F3" w:rsidRDefault="00C320F8">
      <w:pPr>
        <w:jc w:val="center"/>
        <w:rPr>
          <w:rFonts w:ascii="Arial" w:hAnsi="Arial" w:cs="Arial"/>
          <w:sz w:val="22"/>
          <w:szCs w:val="22"/>
        </w:rPr>
      </w:pPr>
      <w:r w:rsidRPr="00E322F3">
        <w:rPr>
          <w:rFonts w:ascii="Arial" w:hAnsi="Arial" w:cs="Arial"/>
          <w:sz w:val="22"/>
          <w:szCs w:val="22"/>
        </w:rPr>
        <w:t>EL INTERVENTOR ACTAL.</w:t>
      </w:r>
    </w:p>
    <w:p w:rsidR="00C320F8" w:rsidRPr="00E322F3" w:rsidRDefault="00C320F8">
      <w:pPr>
        <w:jc w:val="center"/>
        <w:rPr>
          <w:rFonts w:ascii="Arial" w:hAnsi="Arial" w:cs="Arial"/>
          <w:sz w:val="22"/>
          <w:szCs w:val="22"/>
        </w:rPr>
      </w:pPr>
    </w:p>
    <w:p w:rsidR="00C320F8" w:rsidRPr="00E322F3" w:rsidRDefault="00C320F8">
      <w:pPr>
        <w:jc w:val="center"/>
        <w:rPr>
          <w:rFonts w:ascii="Arial" w:hAnsi="Arial" w:cs="Arial"/>
          <w:sz w:val="22"/>
          <w:szCs w:val="22"/>
        </w:rPr>
      </w:pPr>
    </w:p>
    <w:p w:rsidR="00C320F8" w:rsidRPr="00E322F3" w:rsidRDefault="00C320F8">
      <w:pPr>
        <w:jc w:val="center"/>
        <w:rPr>
          <w:rFonts w:ascii="Arial" w:hAnsi="Arial" w:cs="Arial"/>
          <w:sz w:val="22"/>
          <w:szCs w:val="22"/>
        </w:rPr>
      </w:pPr>
    </w:p>
    <w:p w:rsidR="00C320F8" w:rsidRDefault="00C320F8">
      <w:pPr>
        <w:jc w:val="center"/>
      </w:pPr>
    </w:p>
    <w:p w:rsidR="00C320F8" w:rsidRDefault="00C320F8">
      <w:pPr>
        <w:jc w:val="center"/>
      </w:pPr>
    </w:p>
    <w:p w:rsidR="00C320F8" w:rsidRDefault="00C320F8">
      <w:pPr>
        <w:jc w:val="center"/>
      </w:pPr>
      <w:r>
        <w:t>Fdo. Constantino Baeza Menchón</w:t>
      </w:r>
    </w:p>
    <w:p w:rsidR="004F01F4" w:rsidRDefault="004F01F4">
      <w:pPr>
        <w:jc w:val="center"/>
      </w:pPr>
    </w:p>
    <w:sectPr w:rsidR="004F01F4" w:rsidSect="00385B10">
      <w:headerReference w:type="default" r:id="rId7"/>
      <w:pgSz w:w="11907" w:h="16840" w:code="9"/>
      <w:pgMar w:top="1985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A42" w:rsidRDefault="00F65A42">
      <w:r>
        <w:separator/>
      </w:r>
    </w:p>
  </w:endnote>
  <w:endnote w:type="continuationSeparator" w:id="0">
    <w:p w:rsidR="00F65A42" w:rsidRDefault="00F6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A42" w:rsidRDefault="00F65A42">
      <w:r>
        <w:separator/>
      </w:r>
    </w:p>
  </w:footnote>
  <w:footnote w:type="continuationSeparator" w:id="0">
    <w:p w:rsidR="00F65A42" w:rsidRDefault="00F6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A42" w:rsidRDefault="00F65A42">
    <w:pPr>
      <w:pStyle w:val="Encabezado"/>
      <w:rPr>
        <w:rFonts w:ascii="Book Antiqua" w:hAnsi="Book Antiqua"/>
        <w:b/>
        <w:sz w:val="44"/>
      </w:rPr>
    </w:pPr>
    <w:r>
      <w:rPr>
        <w:rFonts w:ascii="Book Antiqua" w:hAnsi="Book Antiqua"/>
        <w:b/>
        <w:noProof/>
        <w:sz w:val="4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2pt;margin-top:-13.95pt;width:36.7pt;height:53.4pt;z-index:251656704" o:allowincell="f" filled="f" stroked="f">
          <v:textbox style="mso-next-textbox:#_x0000_s2049" inset="1mm,,1mm">
            <w:txbxContent>
              <w:p w:rsidR="00F65A42" w:rsidRDefault="003B5710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>
                      <wp:extent cx="390525" cy="581025"/>
                      <wp:effectExtent l="19050" t="0" r="9525" b="0"/>
                      <wp:docPr id="2" name="Imagen 2" descr="ESCUDO OFICI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SCUDO OFICI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biLevel thresh="5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Book Antiqua" w:hAnsi="Book Antiqua"/>
        <w:b/>
        <w:sz w:val="44"/>
      </w:rPr>
      <w:t>AJUNTAMENT DE DÉNIA</w:t>
    </w:r>
  </w:p>
  <w:p w:rsidR="00F65A42" w:rsidRDefault="00F65A42">
    <w:pPr>
      <w:pStyle w:val="Encabezado"/>
      <w:rPr>
        <w:i/>
      </w:rPr>
    </w:pPr>
    <w:r w:rsidRPr="00B53018">
      <w:rPr>
        <w:i/>
        <w:noProof/>
        <w:sz w:val="20"/>
      </w:rPr>
      <w:pict>
        <v:shape id="_x0000_s2050" type="#_x0000_t202" style="position:absolute;left:0;text-align:left;margin-left:132pt;margin-top:262.95pt;width:149.45pt;height:206.4pt;z-index:251657728" o:allowincell="f" filled="f" stroked="f">
          <v:textbox>
            <w:txbxContent>
              <w:p w:rsidR="00F65A42" w:rsidRDefault="003B5710">
                <w:r>
                  <w:rPr>
                    <w:noProof/>
                  </w:rPr>
                  <w:drawing>
                    <wp:inline distT="0" distB="0" distL="0" distR="0">
                      <wp:extent cx="1704975" cy="2514600"/>
                      <wp:effectExtent l="19050" t="0" r="9525" b="0"/>
                      <wp:docPr id="4" name="Imagen 4" descr="ESCUDO OFICIA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ESCUDO OFICIA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88000" contrast="-82000"/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4975" cy="2514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53018">
      <w:rPr>
        <w:i/>
        <w:noProof/>
        <w:sz w:val="20"/>
      </w:rPr>
      <w:pict>
        <v:shape id="_x0000_s2051" type="#_x0000_t202" style="position:absolute;left:0;text-align:left;margin-left:-78pt;margin-top:79.85pt;width:24pt;height:567pt;z-index:251658752" o:allowincell="f" filled="f" stroked="f">
          <v:textbox style="layout-flow:vertical;mso-layout-flow-alt:bottom-to-top">
            <w:txbxContent>
              <w:p w:rsidR="00F65A42" w:rsidRDefault="00F65A42">
                <w:pPr>
                  <w:jc w:val="center"/>
                  <w:rPr>
                    <w:sz w:val="12"/>
                  </w:rPr>
                </w:pPr>
                <w:r>
                  <w:rPr>
                    <w:sz w:val="12"/>
                  </w:rPr>
                  <w:t xml:space="preserve">M. I. AJUNTAMENT DE DÉNIA </w:t>
                </w:r>
                <w:r>
                  <w:rPr>
                    <w:sz w:val="12"/>
                  </w:rPr>
                  <w:sym w:font="Symbol" w:char="F0B7"/>
                </w:r>
                <w:r>
                  <w:rPr>
                    <w:sz w:val="12"/>
                  </w:rPr>
                  <w:t xml:space="preserve"> C.I.F.: P-0306300-E  </w:t>
                </w:r>
                <w:r>
                  <w:rPr>
                    <w:sz w:val="12"/>
                  </w:rPr>
                  <w:sym w:font="Symbol" w:char="F0B7"/>
                </w:r>
                <w:r>
                  <w:rPr>
                    <w:sz w:val="12"/>
                  </w:rPr>
                  <w:t xml:space="preserve"> PL.CONSTITUCIÓ, 10 </w:t>
                </w:r>
                <w:r>
                  <w:rPr>
                    <w:sz w:val="12"/>
                  </w:rPr>
                  <w:sym w:font="Symbol" w:char="F0B7"/>
                </w:r>
                <w:r>
                  <w:rPr>
                    <w:sz w:val="12"/>
                  </w:rPr>
                  <w:t xml:space="preserve"> 03700 DÉNIA </w:t>
                </w:r>
                <w:r>
                  <w:rPr>
                    <w:sz w:val="12"/>
                  </w:rPr>
                  <w:sym w:font="Symbol" w:char="F0B7"/>
                </w:r>
                <w:r>
                  <w:rPr>
                    <w:sz w:val="12"/>
                  </w:rPr>
                  <w:t xml:space="preserve"> TFNO. 96 578 0100 – FAX: 96 578 99 86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D750E"/>
    <w:multiLevelType w:val="hybridMultilevel"/>
    <w:tmpl w:val="7F3A3B38"/>
    <w:lvl w:ilvl="0" w:tplc="7D86E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984984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79312769"/>
    <w:multiLevelType w:val="hybridMultilevel"/>
    <w:tmpl w:val="9E6C13FC"/>
    <w:lvl w:ilvl="0" w:tplc="DF56963A">
      <w:start w:val="2"/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0B5E"/>
    <w:rsid w:val="00027AD2"/>
    <w:rsid w:val="00056496"/>
    <w:rsid w:val="0007083F"/>
    <w:rsid w:val="002020C2"/>
    <w:rsid w:val="00220E7C"/>
    <w:rsid w:val="002337AC"/>
    <w:rsid w:val="00275EB6"/>
    <w:rsid w:val="002A45C5"/>
    <w:rsid w:val="002D03FD"/>
    <w:rsid w:val="003008BA"/>
    <w:rsid w:val="00314B46"/>
    <w:rsid w:val="00321F11"/>
    <w:rsid w:val="00346BA1"/>
    <w:rsid w:val="00376746"/>
    <w:rsid w:val="00385B10"/>
    <w:rsid w:val="00394054"/>
    <w:rsid w:val="003B5710"/>
    <w:rsid w:val="003D2367"/>
    <w:rsid w:val="004211F7"/>
    <w:rsid w:val="004933D7"/>
    <w:rsid w:val="004B5B82"/>
    <w:rsid w:val="004C6D44"/>
    <w:rsid w:val="004F01F4"/>
    <w:rsid w:val="00554ED8"/>
    <w:rsid w:val="00557DE5"/>
    <w:rsid w:val="00572544"/>
    <w:rsid w:val="005857A7"/>
    <w:rsid w:val="005A61A5"/>
    <w:rsid w:val="005B5D93"/>
    <w:rsid w:val="005D61C6"/>
    <w:rsid w:val="005E60D0"/>
    <w:rsid w:val="005F2572"/>
    <w:rsid w:val="00606C75"/>
    <w:rsid w:val="00677F85"/>
    <w:rsid w:val="006B270D"/>
    <w:rsid w:val="00754D52"/>
    <w:rsid w:val="007A48B2"/>
    <w:rsid w:val="00815788"/>
    <w:rsid w:val="0082401A"/>
    <w:rsid w:val="00832475"/>
    <w:rsid w:val="0084219F"/>
    <w:rsid w:val="00845C70"/>
    <w:rsid w:val="00911202"/>
    <w:rsid w:val="009171EF"/>
    <w:rsid w:val="00923BFE"/>
    <w:rsid w:val="00944C57"/>
    <w:rsid w:val="009973CF"/>
    <w:rsid w:val="009D2996"/>
    <w:rsid w:val="009F5265"/>
    <w:rsid w:val="009F52BA"/>
    <w:rsid w:val="00AE277B"/>
    <w:rsid w:val="00B53018"/>
    <w:rsid w:val="00BB031B"/>
    <w:rsid w:val="00C30B5E"/>
    <w:rsid w:val="00C320F8"/>
    <w:rsid w:val="00C753B7"/>
    <w:rsid w:val="00CB3A7D"/>
    <w:rsid w:val="00CC0EF4"/>
    <w:rsid w:val="00CC1F80"/>
    <w:rsid w:val="00D439F4"/>
    <w:rsid w:val="00DA42EA"/>
    <w:rsid w:val="00DD5A1F"/>
    <w:rsid w:val="00DE0D44"/>
    <w:rsid w:val="00DF25DE"/>
    <w:rsid w:val="00E20478"/>
    <w:rsid w:val="00E322F3"/>
    <w:rsid w:val="00E35E25"/>
    <w:rsid w:val="00E36B1D"/>
    <w:rsid w:val="00E37A5D"/>
    <w:rsid w:val="00EC270E"/>
    <w:rsid w:val="00EF443B"/>
    <w:rsid w:val="00F35279"/>
    <w:rsid w:val="00F475EA"/>
    <w:rsid w:val="00F524F8"/>
    <w:rsid w:val="00F576C7"/>
    <w:rsid w:val="00F6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5B10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385B10"/>
    <w:pPr>
      <w:keepNext/>
      <w:widowControl w:val="0"/>
      <w:jc w:val="center"/>
      <w:outlineLvl w:val="0"/>
    </w:pPr>
    <w:rPr>
      <w:b/>
      <w:lang w:val="es-ES_tradnl"/>
    </w:rPr>
  </w:style>
  <w:style w:type="paragraph" w:styleId="Ttulo8">
    <w:name w:val="heading 8"/>
    <w:basedOn w:val="Normal"/>
    <w:next w:val="Normal"/>
    <w:qFormat/>
    <w:rsid w:val="00385B10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85B1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85B1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85B10"/>
    <w:pPr>
      <w:widowControl w:val="0"/>
    </w:pPr>
    <w:rPr>
      <w:lang w:val="es-ES_tradnl"/>
    </w:rPr>
  </w:style>
  <w:style w:type="paragraph" w:customStyle="1" w:styleId="Default">
    <w:name w:val="Default"/>
    <w:rsid w:val="00EC27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Ayuntament de Dénia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DENIA</dc:creator>
  <cp:lastModifiedBy>Constantino Baeza</cp:lastModifiedBy>
  <cp:revision>2</cp:revision>
  <cp:lastPrinted>2015-12-28T10:32:00Z</cp:lastPrinted>
  <dcterms:created xsi:type="dcterms:W3CDTF">2017-05-04T12:33:00Z</dcterms:created>
  <dcterms:modified xsi:type="dcterms:W3CDTF">2017-05-04T12:33:00Z</dcterms:modified>
</cp:coreProperties>
</file>